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A283D" w14:textId="77777777" w:rsidR="009E1DB9" w:rsidRPr="002B1234" w:rsidRDefault="009E1DB9" w:rsidP="002B1234">
      <w:pPr>
        <w:pStyle w:val="Coverpageannexnumber"/>
        <w:rPr>
          <w:rFonts w:ascii="Times New Roman" w:hAnsi="Times New Roman" w:cs="Times New Roman"/>
          <w14:ligatures w14:val="none"/>
        </w:rPr>
      </w:pPr>
      <w:bookmarkStart w:id="0" w:name="_GoBack"/>
      <w:bookmarkEnd w:id="0"/>
      <w:r>
        <w:rPr>
          <w:rFonts w:ascii="Times New Roman" w:hAnsi="Times New Roman"/>
        </w:rPr>
        <w:t>ANEXO VII</w:t>
      </w:r>
    </w:p>
    <w:p w14:paraId="1F2A7618" w14:textId="77777777" w:rsidR="009E1DB9" w:rsidRPr="00AE20D9" w:rsidRDefault="009E1DB9" w:rsidP="00AE20D9">
      <w:pPr>
        <w:pStyle w:val="Coverpageannexreftitle"/>
        <w:rPr>
          <w:b/>
          <w:bCs/>
        </w:rPr>
      </w:pPr>
      <w:r>
        <w:rPr>
          <w:b/>
        </w:rPr>
        <w:t>REFERIDO NO ARTIGO 2.14</w:t>
      </w:r>
    </w:p>
    <w:p w14:paraId="370A2E58" w14:textId="7060D196" w:rsidR="00AE20D9" w:rsidRDefault="009E1DB9" w:rsidP="00AE20D9">
      <w:pPr>
        <w:pStyle w:val="Coverpageannexreftitle"/>
        <w:rPr>
          <w:b/>
          <w:bCs/>
        </w:rPr>
      </w:pPr>
      <w:r>
        <w:rPr>
          <w:b/>
        </w:rPr>
        <w:t>MANDATO D</w:t>
      </w:r>
      <w:r w:rsidR="007F0799">
        <w:rPr>
          <w:b/>
        </w:rPr>
        <w:t>O</w:t>
      </w:r>
      <w:r>
        <w:rPr>
          <w:b/>
        </w:rPr>
        <w:t xml:space="preserve"> </w:t>
      </w:r>
      <w:r w:rsidR="007F0799">
        <w:rPr>
          <w:b/>
        </w:rPr>
        <w:t xml:space="preserve">SUBCOMITÊ de </w:t>
      </w:r>
      <w:r>
        <w:rPr>
          <w:b/>
        </w:rPr>
        <w:t xml:space="preserve">COMÉRCIO DE </w:t>
      </w:r>
      <w:r w:rsidR="00E95F64">
        <w:rPr>
          <w:b/>
        </w:rPr>
        <w:t>BENS</w:t>
      </w:r>
    </w:p>
    <w:p w14:paraId="7FD8F064" w14:textId="77777777" w:rsidR="00AE20D9" w:rsidRDefault="00AE20D9">
      <w:pPr>
        <w:rPr>
          <w:rFonts w:ascii="Times New Roman" w:eastAsia="Times New Roman" w:hAnsi="Times New Roman" w:cstheme="majorBidi"/>
          <w:b/>
          <w:bCs/>
          <w:caps/>
          <w:sz w:val="28"/>
          <w:szCs w:val="26"/>
          <w14:ligatures w14:val="standardContextual"/>
        </w:rPr>
      </w:pPr>
      <w:r>
        <w:br w:type="page"/>
      </w:r>
    </w:p>
    <w:p w14:paraId="5E6C940D" w14:textId="77777777" w:rsidR="009E1DB9" w:rsidRPr="007F0799" w:rsidRDefault="009E1DB9" w:rsidP="009E1DB9">
      <w:pPr>
        <w:jc w:val="center"/>
        <w:rPr>
          <w:rFonts w:ascii="Times New Roman" w:hAnsi="Times New Roman" w:cs="Times New Roman"/>
          <w:sz w:val="24"/>
          <w:szCs w:val="24"/>
          <w:highlight w:val="yellow"/>
          <w:lang w:val="en-GB"/>
        </w:rPr>
      </w:pPr>
    </w:p>
    <w:p w14:paraId="0678967C" w14:textId="77777777" w:rsidR="009E1DB9" w:rsidRPr="007F0799" w:rsidRDefault="009E1DB9" w:rsidP="009E1DB9">
      <w:pPr>
        <w:jc w:val="center"/>
        <w:rPr>
          <w:rFonts w:ascii="Times New Roman" w:hAnsi="Times New Roman" w:cs="Times New Roman"/>
          <w:caps/>
          <w:sz w:val="24"/>
          <w:szCs w:val="24"/>
          <w:highlight w:val="yellow"/>
          <w:lang w:val="en-GB"/>
        </w:rPr>
        <w:sectPr w:rsidR="009E1DB9" w:rsidRPr="007F0799" w:rsidSect="009E1DB9">
          <w:headerReference w:type="first" r:id="rId10"/>
          <w:footnotePr>
            <w:numRestart w:val="eachSect"/>
          </w:footnotePr>
          <w:pgSz w:w="11909" w:h="16834" w:code="9"/>
          <w:pgMar w:top="1418" w:right="1701" w:bottom="1418" w:left="1701" w:header="720" w:footer="720" w:gutter="0"/>
          <w:pgNumType w:start="1"/>
          <w:cols w:space="720"/>
          <w:titlePg/>
        </w:sectPr>
      </w:pPr>
    </w:p>
    <w:p w14:paraId="20630B4D" w14:textId="77777777" w:rsidR="009E1DB9" w:rsidRPr="009405B5" w:rsidRDefault="009E1DB9" w:rsidP="009405B5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lastRenderedPageBreak/>
        <w:t xml:space="preserve">ANEXO VII </w:t>
      </w:r>
    </w:p>
    <w:p w14:paraId="508EBA69" w14:textId="77777777" w:rsidR="009E1DB9" w:rsidRPr="009405B5" w:rsidRDefault="009E1DB9" w:rsidP="009405B5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REFERIDO NO ARTIGO 2.14</w:t>
      </w:r>
    </w:p>
    <w:p w14:paraId="19457283" w14:textId="0BD979BC" w:rsidR="009E1DB9" w:rsidRPr="009405B5" w:rsidRDefault="009E1DB9" w:rsidP="009405B5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MANDATO D</w:t>
      </w:r>
      <w:r w:rsidR="007F0799">
        <w:rPr>
          <w:b w:val="0"/>
          <w:u w:val="single"/>
        </w:rPr>
        <w:t>O</w:t>
      </w:r>
      <w:r>
        <w:rPr>
          <w:b w:val="0"/>
          <w:u w:val="single"/>
        </w:rPr>
        <w:t xml:space="preserve"> </w:t>
      </w:r>
      <w:r w:rsidR="007F0799">
        <w:rPr>
          <w:b w:val="0"/>
          <w:u w:val="single"/>
        </w:rPr>
        <w:t xml:space="preserve">SUBCOMITê de </w:t>
      </w:r>
      <w:r>
        <w:rPr>
          <w:b w:val="0"/>
          <w:u w:val="single"/>
        </w:rPr>
        <w:t xml:space="preserve">COMÉRCIO DE </w:t>
      </w:r>
      <w:r w:rsidR="00E95F64">
        <w:rPr>
          <w:b w:val="0"/>
          <w:u w:val="single"/>
        </w:rPr>
        <w:t>BENS</w:t>
      </w:r>
    </w:p>
    <w:p w14:paraId="70921903" w14:textId="77777777" w:rsidR="009E1DB9" w:rsidRPr="006F66AC" w:rsidRDefault="009E1DB9" w:rsidP="009E1DB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D6848C" w14:textId="2EB97004" w:rsidR="009E1DB9" w:rsidRPr="00F30ED0" w:rsidRDefault="009E1DB9" w:rsidP="00F30ED0">
      <w:pPr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 xml:space="preserve">As Partes estabelecem um Subcomitê sobre Comércio de </w:t>
      </w:r>
      <w:r w:rsidR="007F0799">
        <w:rPr>
          <w:rFonts w:ascii="Times New Roman" w:hAnsi="Times New Roman"/>
          <w:sz w:val="24"/>
        </w:rPr>
        <w:t xml:space="preserve">Bens </w:t>
      </w:r>
      <w:r>
        <w:rPr>
          <w:rFonts w:ascii="Times New Roman" w:hAnsi="Times New Roman"/>
          <w:sz w:val="24"/>
        </w:rPr>
        <w:t>(Subcomitê) composto por representantes de cada Estado Parte.</w:t>
      </w:r>
    </w:p>
    <w:p w14:paraId="651C2019" w14:textId="1B0B0B78" w:rsidR="009E1DB9" w:rsidRPr="00F30ED0" w:rsidRDefault="009E1DB9" w:rsidP="00F30ED0">
      <w:pPr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>O Subcomitê só pode</w:t>
      </w:r>
      <w:r w:rsidR="007F0799">
        <w:rPr>
          <w:rFonts w:ascii="Times New Roman" w:hAnsi="Times New Roman"/>
          <w:sz w:val="24"/>
        </w:rPr>
        <w:t>rá</w:t>
      </w:r>
      <w:r>
        <w:rPr>
          <w:rFonts w:ascii="Times New Roman" w:hAnsi="Times New Roman"/>
          <w:sz w:val="24"/>
        </w:rPr>
        <w:t xml:space="preserve"> examinar questões decorrentes do Capítulo 2 (Comércio de Bens) do Acordo, incluindo os Anexos I (Regras de Origem) a VI (Facilitação d</w:t>
      </w:r>
      <w:r w:rsidR="007F0799"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z w:val="24"/>
        </w:rPr>
        <w:t xml:space="preserve"> Comércio).</w:t>
      </w:r>
    </w:p>
    <w:p w14:paraId="6E1200AE" w14:textId="77777777" w:rsidR="009E1DB9" w:rsidRPr="00F30ED0" w:rsidRDefault="009E1DB9" w:rsidP="00F30ED0">
      <w:pPr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>No âmbito de suas competências, o Subcomitê deverá:</w:t>
      </w:r>
    </w:p>
    <w:p w14:paraId="77D319C1" w14:textId="77777777" w:rsidR="009E1DB9" w:rsidRPr="00C465C1" w:rsidRDefault="009E1DB9" w:rsidP="0050127A">
      <w:pPr>
        <w:pStyle w:val="FTAlisttext"/>
        <w:numPr>
          <w:ilvl w:val="0"/>
          <w:numId w:val="1"/>
        </w:numPr>
        <w:tabs>
          <w:tab w:val="clear" w:pos="-720"/>
        </w:tabs>
        <w:ind w:left="1418" w:hanging="709"/>
      </w:pPr>
      <w:r>
        <w:t>monitorar e revisar as medidas e a implementação dos compromissos;</w:t>
      </w:r>
    </w:p>
    <w:p w14:paraId="45648B35" w14:textId="77777777" w:rsidR="009E1DB9" w:rsidRPr="00C465C1" w:rsidRDefault="009E1DB9" w:rsidP="0050127A">
      <w:pPr>
        <w:pStyle w:val="FTAlisttext"/>
        <w:numPr>
          <w:ilvl w:val="0"/>
          <w:numId w:val="1"/>
        </w:numPr>
        <w:tabs>
          <w:tab w:val="clear" w:pos="-720"/>
        </w:tabs>
        <w:ind w:left="1418" w:hanging="709"/>
      </w:pPr>
      <w:r>
        <w:t>trocar informações e analisar os desenvolvimentos;</w:t>
      </w:r>
    </w:p>
    <w:p w14:paraId="73CEC6B3" w14:textId="77777777" w:rsidR="009E1DB9" w:rsidRPr="00C465C1" w:rsidRDefault="009E1DB9" w:rsidP="0050127A">
      <w:pPr>
        <w:pStyle w:val="FTAlisttext"/>
        <w:numPr>
          <w:ilvl w:val="0"/>
          <w:numId w:val="1"/>
        </w:numPr>
        <w:tabs>
          <w:tab w:val="clear" w:pos="-720"/>
        </w:tabs>
        <w:ind w:left="1418" w:hanging="709"/>
      </w:pPr>
      <w:r>
        <w:t>preparar propostas técnicas de alterações, incluindo atualizações do SH, a serem consideradas pelo Comitê Conjunto;</w:t>
      </w:r>
    </w:p>
    <w:p w14:paraId="2D283711" w14:textId="12FCE397" w:rsidR="009E1DB9" w:rsidRPr="00C465C1" w:rsidRDefault="009E1DB9" w:rsidP="0050127A">
      <w:pPr>
        <w:pStyle w:val="FTAlisttext"/>
        <w:numPr>
          <w:ilvl w:val="0"/>
          <w:numId w:val="1"/>
        </w:numPr>
        <w:tabs>
          <w:tab w:val="clear" w:pos="-720"/>
        </w:tabs>
        <w:ind w:left="1418" w:hanging="709"/>
      </w:pPr>
      <w:r>
        <w:t xml:space="preserve">desempenhar outras funções relacionadas </w:t>
      </w:r>
      <w:r w:rsidR="007F0799">
        <w:t>a</w:t>
      </w:r>
      <w:r>
        <w:t xml:space="preserve">o comércio de </w:t>
      </w:r>
      <w:r w:rsidR="007F0799">
        <w:t xml:space="preserve">bens </w:t>
      </w:r>
      <w:r>
        <w:t xml:space="preserve">que sejam remetidas ao Subcomitê pelo Comitê </w:t>
      </w:r>
      <w:r w:rsidR="007F0799">
        <w:t>Conjunto</w:t>
      </w:r>
      <w:r>
        <w:t>; e</w:t>
      </w:r>
    </w:p>
    <w:p w14:paraId="65AD16FF" w14:textId="77777777" w:rsidR="009E1DB9" w:rsidRPr="00C465C1" w:rsidRDefault="009E1DB9" w:rsidP="0050127A">
      <w:pPr>
        <w:pStyle w:val="FTAlisttext"/>
        <w:numPr>
          <w:ilvl w:val="0"/>
          <w:numId w:val="1"/>
        </w:numPr>
        <w:tabs>
          <w:tab w:val="clear" w:pos="-720"/>
        </w:tabs>
        <w:ind w:left="1418" w:hanging="709"/>
      </w:pPr>
      <w:r>
        <w:t>fazer recomendações e apresentar relatórios ao Comitê Conjunto, conforme necessário.</w:t>
      </w:r>
    </w:p>
    <w:p w14:paraId="1B2A193C" w14:textId="77777777" w:rsidR="009E1DB9" w:rsidRPr="00F30ED0" w:rsidRDefault="009E1DB9" w:rsidP="00F30ED0">
      <w:pPr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O Subcomitê deliberará por consenso.</w:t>
      </w:r>
    </w:p>
    <w:p w14:paraId="3A39F7AC" w14:textId="12C6B975" w:rsidR="009E1DB9" w:rsidRPr="00F30ED0" w:rsidRDefault="009E1DB9" w:rsidP="00F30ED0">
      <w:pPr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5.</w:t>
      </w:r>
      <w:r>
        <w:rPr>
          <w:rFonts w:ascii="Times New Roman" w:hAnsi="Times New Roman"/>
          <w:sz w:val="24"/>
        </w:rPr>
        <w:tab/>
        <w:t>O Subcomitê reunir</w:t>
      </w:r>
      <w:r w:rsidR="007F0799">
        <w:rPr>
          <w:rFonts w:ascii="Times New Roman" w:hAnsi="Times New Roman"/>
          <w:sz w:val="24"/>
        </w:rPr>
        <w:t>-se-</w:t>
      </w:r>
      <w:r>
        <w:rPr>
          <w:rFonts w:ascii="Times New Roman" w:hAnsi="Times New Roman"/>
          <w:sz w:val="24"/>
        </w:rPr>
        <w:t>á sempre que necessário. Será convocad</w:t>
      </w:r>
      <w:r w:rsidR="007F0799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 xml:space="preserve"> a pedido de um Estado Parte. O local da reunião alternará entre um Estado da EFTA e um Estado do MERCOSUL, conforme acordado pelos Estados Partes. Os Estados Partes pode</w:t>
      </w:r>
      <w:r w:rsidR="007F0799">
        <w:rPr>
          <w:rFonts w:ascii="Times New Roman" w:hAnsi="Times New Roman"/>
          <w:sz w:val="24"/>
        </w:rPr>
        <w:t>rão</w:t>
      </w:r>
      <w:r>
        <w:rPr>
          <w:rFonts w:ascii="Times New Roman" w:hAnsi="Times New Roman"/>
          <w:sz w:val="24"/>
        </w:rPr>
        <w:t xml:space="preserve"> concordar em realizar uma reunião do Subcomitê por meios eletrônicos de comunicação.</w:t>
      </w:r>
    </w:p>
    <w:p w14:paraId="7CBCF37B" w14:textId="77777777" w:rsidR="009E1DB9" w:rsidRPr="00F30ED0" w:rsidRDefault="009E1DB9" w:rsidP="00F30ED0">
      <w:pPr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6.</w:t>
      </w:r>
      <w:r>
        <w:rPr>
          <w:rFonts w:ascii="Times New Roman" w:hAnsi="Times New Roman"/>
          <w:sz w:val="24"/>
        </w:rPr>
        <w:tab/>
        <w:t xml:space="preserve">As reuniões do Subcomitê serão presididas conjuntamente por um dos Estados da EFTA e um dos Estados do MERCOSUL. </w:t>
      </w:r>
    </w:p>
    <w:p w14:paraId="5B67E5F4" w14:textId="77777777" w:rsidR="009E1DB9" w:rsidRPr="00F30ED0" w:rsidRDefault="009E1DB9" w:rsidP="00F30ED0">
      <w:pPr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7.</w:t>
      </w:r>
      <w:r>
        <w:rPr>
          <w:rFonts w:ascii="Times New Roman" w:hAnsi="Times New Roman"/>
          <w:sz w:val="24"/>
        </w:rPr>
        <w:tab/>
        <w:t xml:space="preserve">A agenda provisória de cada reunião será preparada pelo anfitrião do Subcomitê, em consulta com os outros Estados Partes, e encaminhada a eles, em regra geral, no máximo duas semanas antes da reunião. </w:t>
      </w:r>
    </w:p>
    <w:p w14:paraId="27D9B3AE" w14:textId="77777777" w:rsidR="009E1DB9" w:rsidRPr="00F30ED0" w:rsidRDefault="009E1DB9" w:rsidP="00F30ED0">
      <w:pPr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8.</w:t>
      </w:r>
      <w:r>
        <w:rPr>
          <w:rFonts w:ascii="Times New Roman" w:hAnsi="Times New Roman"/>
          <w:sz w:val="24"/>
        </w:rPr>
        <w:tab/>
        <w:t>O Subcomitê elaborará um relatório sobre os resultados de cada reunião. Se solicitado, os presidentes apresentarão um relatório na reunião seguinte do Comitê Conjunto.</w:t>
      </w:r>
    </w:p>
    <w:p w14:paraId="65CEF40C" w14:textId="2DD42380" w:rsidR="009E1DB9" w:rsidRPr="00C465C1" w:rsidRDefault="009E1DB9" w:rsidP="001C4386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p w14:paraId="07B9ABB8" w14:textId="77777777" w:rsidR="00654F8F" w:rsidRDefault="00654F8F"/>
    <w:sectPr w:rsidR="00654F8F" w:rsidSect="0050127A">
      <w:footerReference w:type="default" r:id="rId11"/>
      <w:pgSz w:w="11906" w:h="16838"/>
      <w:pgMar w:top="1418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C8698" w14:textId="77777777" w:rsidR="00353BEF" w:rsidRDefault="00353BEF">
      <w:pPr>
        <w:spacing w:after="0" w:line="240" w:lineRule="auto"/>
      </w:pPr>
      <w:r>
        <w:separator/>
      </w:r>
    </w:p>
  </w:endnote>
  <w:endnote w:type="continuationSeparator" w:id="0">
    <w:p w14:paraId="5FB3F3D3" w14:textId="77777777" w:rsidR="00353BEF" w:rsidRDefault="00353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65644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52ECD16" w14:textId="62059866" w:rsidR="0050127A" w:rsidRPr="0050127A" w:rsidRDefault="0050127A" w:rsidP="0050127A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127A">
          <w:rPr>
            <w:rFonts w:ascii="Times New Roman" w:hAnsi="Times New Roman" w:cs="Times New Roman"/>
            <w:sz w:val="24"/>
          </w:rPr>
          <w:fldChar w:fldCharType="begin"/>
        </w:r>
        <w:r w:rsidRPr="0050127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0127A">
          <w:rPr>
            <w:rFonts w:ascii="Times New Roman" w:hAnsi="Times New Roman" w:cs="Times New Roman"/>
            <w:sz w:val="24"/>
          </w:rPr>
          <w:fldChar w:fldCharType="separate"/>
        </w:r>
        <w:r w:rsidR="00876481">
          <w:rPr>
            <w:rFonts w:ascii="Times New Roman" w:hAnsi="Times New Roman" w:cs="Times New Roman"/>
            <w:noProof/>
            <w:sz w:val="24"/>
          </w:rPr>
          <w:t>- 3 -</w:t>
        </w:r>
        <w:r w:rsidRPr="0050127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E29FE" w14:textId="77777777" w:rsidR="00353BEF" w:rsidRDefault="00353BEF">
      <w:pPr>
        <w:spacing w:after="0" w:line="240" w:lineRule="auto"/>
      </w:pPr>
      <w:r>
        <w:separator/>
      </w:r>
    </w:p>
  </w:footnote>
  <w:footnote w:type="continuationSeparator" w:id="0">
    <w:p w14:paraId="18DD614B" w14:textId="77777777" w:rsidR="00353BEF" w:rsidRDefault="00353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AC850" w14:textId="77777777" w:rsidR="009E1DB9" w:rsidRDefault="009E1DB9">
    <w:pPr>
      <w:tabs>
        <w:tab w:val="left" w:pos="6237"/>
      </w:tabs>
      <w:ind w:right="-565"/>
      <w:rPr>
        <w:sz w:val="20"/>
        <w:szCs w:val="20"/>
      </w:rPr>
    </w:pPr>
  </w:p>
  <w:p w14:paraId="4703710A" w14:textId="77777777" w:rsidR="009E1DB9" w:rsidRDefault="009E1DB9">
    <w:pPr>
      <w:pStyle w:val="Cabealho"/>
      <w:tabs>
        <w:tab w:val="left" w:pos="6300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8B5ADB"/>
    <w:multiLevelType w:val="hybridMultilevel"/>
    <w:tmpl w:val="56463240"/>
    <w:lvl w:ilvl="0" w:tplc="E796F80C">
      <w:start w:val="1"/>
      <w:numFmt w:val="lowerLetter"/>
      <w:lvlText w:val="(%1)"/>
      <w:lvlJc w:val="left"/>
      <w:pPr>
        <w:tabs>
          <w:tab w:val="num" w:pos="-720"/>
        </w:tabs>
        <w:ind w:left="720" w:hanging="360"/>
      </w:pPr>
      <w:rPr>
        <w:rFonts w:cs="Times New Roman"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B9"/>
    <w:rsid w:val="00097FDE"/>
    <w:rsid w:val="001B6AEC"/>
    <w:rsid w:val="001C4386"/>
    <w:rsid w:val="00253F88"/>
    <w:rsid w:val="002B1234"/>
    <w:rsid w:val="00333B00"/>
    <w:rsid w:val="00353BEF"/>
    <w:rsid w:val="00357152"/>
    <w:rsid w:val="00371F94"/>
    <w:rsid w:val="003931D7"/>
    <w:rsid w:val="004836C9"/>
    <w:rsid w:val="0050127A"/>
    <w:rsid w:val="00570DB9"/>
    <w:rsid w:val="00626A12"/>
    <w:rsid w:val="00654F8F"/>
    <w:rsid w:val="006D46CB"/>
    <w:rsid w:val="006F66AC"/>
    <w:rsid w:val="007F0799"/>
    <w:rsid w:val="007F2638"/>
    <w:rsid w:val="00802643"/>
    <w:rsid w:val="00876481"/>
    <w:rsid w:val="009405B5"/>
    <w:rsid w:val="00942C80"/>
    <w:rsid w:val="009E1DB9"/>
    <w:rsid w:val="00A32785"/>
    <w:rsid w:val="00A903EB"/>
    <w:rsid w:val="00AB1210"/>
    <w:rsid w:val="00AC6A23"/>
    <w:rsid w:val="00AE20D9"/>
    <w:rsid w:val="00B83C61"/>
    <w:rsid w:val="00CD1535"/>
    <w:rsid w:val="00CF1E01"/>
    <w:rsid w:val="00D2738F"/>
    <w:rsid w:val="00E95F64"/>
    <w:rsid w:val="00F3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9029F"/>
  <w15:chartTrackingRefBased/>
  <w15:docId w15:val="{D9AB3FC2-6EA4-41DD-A76E-2BA30CDA2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DB9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E1D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E1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E1D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E1D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E1D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E1D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E1D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E1D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E1D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E1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E1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E1D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E1D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E1DB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E1D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E1DB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E1D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E1D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E1D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E1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E1D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E1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E1D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E1DB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E1DB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E1DB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E1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E1DB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E1DB9"/>
    <w:rPr>
      <w:b/>
      <w:bCs/>
      <w:smallCaps/>
      <w:color w:val="0F4761" w:themeColor="accent1" w:themeShade="BF"/>
      <w:spacing w:val="5"/>
    </w:rPr>
  </w:style>
  <w:style w:type="paragraph" w:customStyle="1" w:styleId="NormalParagraph">
    <w:name w:val="Normal Paragraph"/>
    <w:rsid w:val="009E1DB9"/>
    <w:pPr>
      <w:tabs>
        <w:tab w:val="left" w:pos="576"/>
        <w:tab w:val="left" w:pos="1152"/>
        <w:tab w:val="left" w:pos="1728"/>
        <w:tab w:val="left" w:pos="5760"/>
      </w:tabs>
      <w:spacing w:after="0" w:line="312" w:lineRule="exact"/>
      <w:jc w:val="both"/>
    </w:pPr>
    <w:rPr>
      <w:rFonts w:ascii="Bookman" w:eastAsia="Times New Roman" w:hAnsi="Bookman" w:cs="Times New Roman"/>
      <w:kern w:val="0"/>
      <w:sz w:val="24"/>
      <w:szCs w:val="20"/>
      <w14:ligatures w14:val="none"/>
    </w:rPr>
  </w:style>
  <w:style w:type="paragraph" w:styleId="Cabealho">
    <w:name w:val="header"/>
    <w:aliases w:val="Header1,En-tête1"/>
    <w:basedOn w:val="Normal"/>
    <w:link w:val="CabealhoChar"/>
    <w:unhideWhenUsed/>
    <w:rsid w:val="009E1DB9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abealhoChar">
    <w:name w:val="Cabeçalho Char"/>
    <w:aliases w:val="Header1 Char,En-tête1 Char"/>
    <w:basedOn w:val="Fontepargpadro"/>
    <w:link w:val="Cabealho"/>
    <w:rsid w:val="009E1DB9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TitleFirst">
    <w:name w:val="Title First"/>
    <w:basedOn w:val="Normal"/>
    <w:next w:val="Normal"/>
    <w:rsid w:val="009E1DB9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napToGrid w:val="0"/>
      <w:color w:val="000000"/>
      <w:sz w:val="24"/>
      <w:szCs w:val="24"/>
      <w:u w:val="single" w:color="000000"/>
    </w:rPr>
  </w:style>
  <w:style w:type="character" w:styleId="Nmerodepgina">
    <w:name w:val="page number"/>
    <w:basedOn w:val="Fontepargpadro"/>
    <w:rsid w:val="009E1DB9"/>
  </w:style>
  <w:style w:type="paragraph" w:customStyle="1" w:styleId="Coverpageannexnumber">
    <w:name w:val="Cover page annex number"/>
    <w:basedOn w:val="Normal"/>
    <w:link w:val="CoverpageannexnumberChar"/>
    <w:qFormat/>
    <w:rsid w:val="002B1234"/>
    <w:pPr>
      <w:keepNext/>
      <w:keepLines/>
      <w:spacing w:before="192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  <w14:ligatures w14:val="standardContextual"/>
    </w:rPr>
  </w:style>
  <w:style w:type="character" w:customStyle="1" w:styleId="CoverpageannexnumberChar">
    <w:name w:val="Cover page annex number Char"/>
    <w:basedOn w:val="Fontepargpadro"/>
    <w:link w:val="Coverpageannexnumber"/>
    <w:rsid w:val="002B1234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AE20D9"/>
    <w:pPr>
      <w:keepNext/>
      <w:keepLines/>
      <w:spacing w:after="0"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  <w14:ligatures w14:val="standardContextual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AE20D9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</w:rPr>
  </w:style>
  <w:style w:type="paragraph" w:styleId="Rodap">
    <w:name w:val="footer"/>
    <w:basedOn w:val="Normal"/>
    <w:link w:val="RodapChar"/>
    <w:uiPriority w:val="99"/>
    <w:unhideWhenUsed/>
    <w:rsid w:val="00AE20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20D9"/>
    <w:rPr>
      <w:kern w:val="0"/>
      <w:lang w:val="pt-BR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9405B5"/>
    <w:pPr>
      <w:spacing w:before="0" w:after="0" w:line="480" w:lineRule="auto"/>
      <w:jc w:val="center"/>
    </w:pPr>
    <w:rPr>
      <w:rFonts w:ascii="Times New Roman" w:eastAsia="Times New Roman" w:hAnsi="Times New Roman"/>
      <w:b/>
      <w:caps/>
      <w:color w:val="auto"/>
      <w:sz w:val="24"/>
      <w:szCs w:val="26"/>
      <w:lang w:eastAsia="es-ES"/>
    </w:rPr>
  </w:style>
  <w:style w:type="character" w:customStyle="1" w:styleId="FTAchaptertitleChar">
    <w:name w:val="FTA chapter title Char"/>
    <w:basedOn w:val="Fontepargpadro"/>
    <w:link w:val="FTAchaptertitle"/>
    <w:rsid w:val="009405B5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listtext">
    <w:name w:val="FTA list text"/>
    <w:basedOn w:val="Normal"/>
    <w:qFormat/>
    <w:rsid w:val="0050127A"/>
    <w:pPr>
      <w:spacing w:after="240" w:line="240" w:lineRule="auto"/>
      <w:jc w:val="both"/>
    </w:pPr>
    <w:rPr>
      <w:rFonts w:ascii="Times New Roman" w:eastAsia="Batang" w:hAnsi="Times New Roman" w:cs="Times New Roman"/>
      <w:sz w:val="24"/>
      <w:szCs w:val="24"/>
      <w:lang w:eastAsia="zh-TW"/>
    </w:rPr>
  </w:style>
  <w:style w:type="paragraph" w:styleId="Reviso">
    <w:name w:val="Revision"/>
    <w:hidden/>
    <w:uiPriority w:val="99"/>
    <w:semiHidden/>
    <w:rsid w:val="00626A12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079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Props1.xml><?xml version="1.0" encoding="utf-8"?>
<ds:datastoreItem xmlns:ds="http://schemas.openxmlformats.org/officeDocument/2006/customXml" ds:itemID="{80D740AC-2125-4695-AE7F-A820D3521F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B3A4A0-D6B0-4DDE-AC44-897AD5B35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F83E04-3944-4B22-8795-7A2B9A953B04}">
  <ds:schemaRefs>
    <ds:schemaRef ds:uri="c3595255-03e9-4f2b-b62f-7eedf31d862a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c236eead-057f-4456-b045-1e6d9ca08cb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4</cp:revision>
  <dcterms:created xsi:type="dcterms:W3CDTF">2026-04-01T13:27:00Z</dcterms:created>
  <dcterms:modified xsi:type="dcterms:W3CDTF">2026-04-09T13:01:00Z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